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352" w:type="dxa"/>
        <w:tblLook w:val="04A0" w:firstRow="1" w:lastRow="0" w:firstColumn="1" w:lastColumn="0" w:noHBand="0" w:noVBand="1"/>
      </w:tblPr>
      <w:tblGrid>
        <w:gridCol w:w="3114"/>
        <w:gridCol w:w="6238"/>
      </w:tblGrid>
      <w:tr w:rsidR="000D3A1D" w:rsidRPr="005A3A97" w:rsidTr="00EC6B62">
        <w:trPr>
          <w:trHeight w:val="450"/>
          <w:tblHeader/>
        </w:trPr>
        <w:tc>
          <w:tcPr>
            <w:tcW w:w="9352" w:type="dxa"/>
            <w:gridSpan w:val="2"/>
            <w:shd w:val="clear" w:color="auto" w:fill="FFFFFF" w:themeFill="background1"/>
            <w:noWrap/>
            <w:vAlign w:val="center"/>
            <w:hideMark/>
          </w:tcPr>
          <w:p w:rsidR="000D3A1D" w:rsidRPr="005A3A97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0D3A1D" w:rsidRPr="005A3A97" w:rsidTr="00EC6B62">
        <w:trPr>
          <w:trHeight w:val="531"/>
          <w:tblHeader/>
        </w:trPr>
        <w:tc>
          <w:tcPr>
            <w:tcW w:w="9352" w:type="dxa"/>
            <w:gridSpan w:val="2"/>
            <w:shd w:val="clear" w:color="auto" w:fill="auto"/>
            <w:noWrap/>
            <w:vAlign w:val="center"/>
            <w:hideMark/>
          </w:tcPr>
          <w:p w:rsidR="000D3A1D" w:rsidRPr="005A3A97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02A65" w:rsidRPr="005A3A97" w:rsidTr="00F648E4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:rsidR="00E02A65" w:rsidRPr="005A3A97" w:rsidRDefault="00E02A65" w:rsidP="00E02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238" w:type="dxa"/>
            <w:shd w:val="clear" w:color="auto" w:fill="DEEAF6" w:themeFill="accent5" w:themeFillTint="33"/>
            <w:noWrap/>
            <w:vAlign w:val="center"/>
            <w:hideMark/>
          </w:tcPr>
          <w:p w:rsidR="00E02A65" w:rsidRPr="00F648E4" w:rsidRDefault="00E02A65" w:rsidP="00E02A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48E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F6416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648E4">
              <w:rPr>
                <w:rFonts w:ascii="Arial" w:hAnsi="Arial" w:cs="Arial"/>
                <w:b/>
                <w:color w:val="000000"/>
                <w:sz w:val="20"/>
                <w:szCs w:val="20"/>
              </w:rPr>
              <w:t>0501001</w:t>
            </w:r>
          </w:p>
        </w:tc>
      </w:tr>
      <w:tr w:rsidR="00E02A65" w:rsidRPr="005A3A97" w:rsidTr="00F648E4">
        <w:trPr>
          <w:trHeight w:val="6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:rsidR="00E02A65" w:rsidRPr="005A3A97" w:rsidRDefault="00E02A65" w:rsidP="00E02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238" w:type="dxa"/>
            <w:shd w:val="clear" w:color="auto" w:fill="DEEAF6" w:themeFill="accent5" w:themeFillTint="33"/>
            <w:vAlign w:val="center"/>
            <w:hideMark/>
          </w:tcPr>
          <w:p w:rsidR="00E02A65" w:rsidRPr="00F648E4" w:rsidRDefault="00E02A65" w:rsidP="00E02A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48E4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Revize hospodaření s vodami ve vodních útvarech podzemních vod s napjatou vodní bilancí (OHL205001)</w:t>
            </w:r>
          </w:p>
        </w:tc>
      </w:tr>
      <w:tr w:rsidR="00E02A65" w:rsidRPr="005A3A97" w:rsidTr="00F648E4">
        <w:trPr>
          <w:trHeight w:val="600"/>
        </w:trPr>
        <w:tc>
          <w:tcPr>
            <w:tcW w:w="3114" w:type="dxa"/>
            <w:vAlign w:val="center"/>
            <w:hideMark/>
          </w:tcPr>
          <w:p w:rsidR="00E02A65" w:rsidRPr="005A3A97" w:rsidRDefault="00E02A65" w:rsidP="00E02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238" w:type="dxa"/>
            <w:noWrap/>
            <w:vAlign w:val="center"/>
            <w:hideMark/>
          </w:tcPr>
          <w:p w:rsidR="00E02A65" w:rsidRPr="00F648E4" w:rsidRDefault="00E02A65" w:rsidP="00E02A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</w:tr>
      <w:tr w:rsidR="0066426F" w:rsidRPr="005A3A97" w:rsidTr="00F648E4">
        <w:trPr>
          <w:trHeight w:val="300"/>
        </w:trPr>
        <w:tc>
          <w:tcPr>
            <w:tcW w:w="3114" w:type="dxa"/>
            <w:vAlign w:val="center"/>
          </w:tcPr>
          <w:p w:rsidR="0066426F" w:rsidRDefault="0066426F" w:rsidP="0066426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61891"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238" w:type="dxa"/>
            <w:noWrap/>
            <w:vAlign w:val="center"/>
          </w:tcPr>
          <w:p w:rsidR="0066426F" w:rsidRPr="00F648E4" w:rsidRDefault="0066426F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Regulace odběrů</w:t>
            </w:r>
          </w:p>
        </w:tc>
      </w:tr>
      <w:tr w:rsidR="0066426F" w:rsidRPr="005A3A97" w:rsidTr="00F648E4">
        <w:trPr>
          <w:trHeight w:val="300"/>
        </w:trPr>
        <w:tc>
          <w:tcPr>
            <w:tcW w:w="3114" w:type="dxa"/>
            <w:vAlign w:val="center"/>
          </w:tcPr>
          <w:p w:rsidR="0066426F" w:rsidRDefault="0066426F" w:rsidP="0066426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238" w:type="dxa"/>
            <w:noWrap/>
            <w:vAlign w:val="center"/>
          </w:tcPr>
          <w:p w:rsidR="0066426F" w:rsidRPr="00F648E4" w:rsidRDefault="0066426F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501</w:t>
            </w:r>
          </w:p>
        </w:tc>
      </w:tr>
      <w:tr w:rsidR="0066426F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Dílčí povodí</w:t>
            </w:r>
          </w:p>
        </w:tc>
        <w:tc>
          <w:tcPr>
            <w:tcW w:w="6238" w:type="dxa"/>
            <w:noWrap/>
            <w:vAlign w:val="center"/>
            <w:hideMark/>
          </w:tcPr>
          <w:p w:rsidR="0066426F" w:rsidRPr="00F648E4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6426F" w:rsidRPr="005A3A97" w:rsidTr="00F648E4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ID vodního útvaru</w:t>
            </w:r>
          </w:p>
        </w:tc>
        <w:tc>
          <w:tcPr>
            <w:tcW w:w="6238" w:type="dxa"/>
            <w:shd w:val="clear" w:color="auto" w:fill="DEEAF6" w:themeFill="accent5" w:themeFillTint="33"/>
            <w:noWrap/>
            <w:vAlign w:val="center"/>
          </w:tcPr>
          <w:p w:rsidR="0066426F" w:rsidRPr="00F648E4" w:rsidRDefault="00404EEE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48E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vodního útvaru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11800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Kvartér Labe po Lovosice</w:t>
            </w:r>
          </w:p>
        </w:tc>
      </w:tr>
      <w:tr w:rsidR="00FC7896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FC7896" w:rsidRPr="001D7369" w:rsidRDefault="00FC7896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11900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FC7896" w:rsidRPr="001D7369" w:rsidRDefault="00FC7896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Kvartér a neogén </w:t>
            </w:r>
            <w:proofErr w:type="spellStart"/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odravské</w:t>
            </w:r>
            <w:proofErr w:type="spellEnd"/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části Chebské pánve</w:t>
            </w:r>
          </w:p>
        </w:tc>
      </w:tr>
      <w:tr w:rsidR="00FC7896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FC7896" w:rsidRPr="001D7369" w:rsidRDefault="00FC7896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21100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FC7896" w:rsidRPr="001D7369" w:rsidRDefault="00FC7896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Chebská pánev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21310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Mostecká </w:t>
            </w:r>
            <w:proofErr w:type="gramStart"/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pánev - severní</w:t>
            </w:r>
            <w:proofErr w:type="gramEnd"/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část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21320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Mostecká </w:t>
            </w:r>
            <w:proofErr w:type="gramStart"/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pánev - </w:t>
            </w:r>
            <w:r w:rsidR="003D6D06"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jižní</w:t>
            </w:r>
            <w:proofErr w:type="gramEnd"/>
            <w:r w:rsidR="003D6D06"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část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45220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Křída Liběchovky a Pšovky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45230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Křída Obrtky a Úštěckého potoka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45300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Roudnická křída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45400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Ohárecká křída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45500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Holedeč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46120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Křída Dolního Labe po </w:t>
            </w:r>
            <w:proofErr w:type="gramStart"/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Děčín - levý</w:t>
            </w:r>
            <w:proofErr w:type="gramEnd"/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břeh, severní část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46300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Děčínský Sněžník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47200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Bazální křídový kolektor od Hamru po Labe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47300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Bazální křídový kolektor v benešovské synklinále</w:t>
            </w:r>
          </w:p>
        </w:tc>
      </w:tr>
      <w:tr w:rsidR="00404EEE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61200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404EEE" w:rsidRPr="001D7369" w:rsidRDefault="00404EEE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Krystalinikum Slavkovského lesa</w:t>
            </w:r>
          </w:p>
        </w:tc>
      </w:tr>
      <w:tr w:rsidR="003D6D06" w:rsidRPr="005A3A97" w:rsidTr="001D7369">
        <w:trPr>
          <w:trHeight w:val="300"/>
        </w:trPr>
        <w:tc>
          <w:tcPr>
            <w:tcW w:w="3114" w:type="dxa"/>
            <w:shd w:val="clear" w:color="auto" w:fill="auto"/>
            <w:vAlign w:val="center"/>
          </w:tcPr>
          <w:p w:rsidR="003D6D06" w:rsidRPr="001D7369" w:rsidRDefault="003D6D06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61330</w:t>
            </w:r>
          </w:p>
        </w:tc>
        <w:tc>
          <w:tcPr>
            <w:tcW w:w="6238" w:type="dxa"/>
            <w:shd w:val="clear" w:color="auto" w:fill="auto"/>
            <w:noWrap/>
            <w:vAlign w:val="center"/>
          </w:tcPr>
          <w:p w:rsidR="003D6D06" w:rsidRPr="001D7369" w:rsidRDefault="003D6D06" w:rsidP="00404E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7369">
              <w:rPr>
                <w:rFonts w:ascii="Arial" w:hAnsi="Arial" w:cs="Arial"/>
                <w:b/>
                <w:color w:val="000000"/>
                <w:sz w:val="20"/>
                <w:szCs w:val="20"/>
              </w:rPr>
              <w:t>Teplický ryolit</w:t>
            </w:r>
          </w:p>
        </w:tc>
      </w:tr>
      <w:tr w:rsidR="000D3A1D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HMWB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:rsidR="000D3A1D" w:rsidRPr="00F648E4" w:rsidRDefault="000D3A1D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426F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Kraj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:rsidR="0066426F" w:rsidRPr="00F648E4" w:rsidRDefault="00404EEE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 xml:space="preserve">Ústecký kraj, Karlovarský kraj, </w:t>
            </w:r>
            <w:r w:rsidR="0066426F" w:rsidRPr="00F648E4">
              <w:rPr>
                <w:rFonts w:ascii="Arial" w:hAnsi="Arial" w:cs="Arial"/>
                <w:color w:val="000000"/>
                <w:sz w:val="20"/>
                <w:szCs w:val="20"/>
              </w:rPr>
              <w:t>Středočeský kraj</w:t>
            </w:r>
          </w:p>
        </w:tc>
      </w:tr>
      <w:tr w:rsidR="0066426F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Obec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:rsidR="0066426F" w:rsidRPr="00F648E4" w:rsidRDefault="00404EEE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Vztahuje se na celý VÚ</w:t>
            </w:r>
          </w:p>
        </w:tc>
      </w:tr>
      <w:tr w:rsidR="000D3A1D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Katastrální území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:rsidR="000D3A1D" w:rsidRPr="00F648E4" w:rsidRDefault="000D3A1D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3A1D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opatření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:rsidR="000D3A1D" w:rsidRPr="00F648E4" w:rsidRDefault="000D3A1D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D3A1D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:rsidR="000D3A1D" w:rsidRPr="00F648E4" w:rsidRDefault="000D3A1D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DC4599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:rsidR="00DC4599" w:rsidRPr="005A3A97" w:rsidRDefault="00DC4599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:rsidR="00DC4599" w:rsidRPr="00F648E4" w:rsidRDefault="00DC4599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3A1D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:rsidR="000D3A1D" w:rsidRPr="00F648E4" w:rsidRDefault="000D3A1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04EEE" w:rsidRPr="005A3A97" w:rsidTr="00DC4599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:rsidR="00404EEE" w:rsidRPr="005A3A97" w:rsidRDefault="00404EEE" w:rsidP="00404E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238" w:type="dxa"/>
            <w:shd w:val="clear" w:color="auto" w:fill="DEEAF6" w:themeFill="accent5" w:themeFillTint="33"/>
            <w:noWrap/>
            <w:vAlign w:val="center"/>
            <w:hideMark/>
          </w:tcPr>
          <w:p w:rsidR="00404EEE" w:rsidRPr="00F648E4" w:rsidRDefault="00404EEE" w:rsidP="00404E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48E4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04EEE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04EEE" w:rsidRPr="005A3A97" w:rsidRDefault="00404EEE" w:rsidP="00404E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:rsidR="00404EEE" w:rsidRPr="00F648E4" w:rsidRDefault="00DC4599" w:rsidP="00404E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1622">
              <w:rPr>
                <w:rFonts w:ascii="Arial" w:hAnsi="Arial" w:cs="Arial"/>
                <w:color w:val="000000"/>
                <w:sz w:val="20"/>
                <w:szCs w:val="20"/>
              </w:rPr>
              <w:drawing>
                <wp:anchor distT="0" distB="0" distL="114300" distR="114300" simplePos="0" relativeHeight="251688960" behindDoc="1" locked="0" layoutInCell="1" allowOverlap="1" wp14:anchorId="44E90F24" wp14:editId="18920524">
                  <wp:simplePos x="0" y="0"/>
                  <wp:positionH relativeFrom="margin">
                    <wp:posOffset>-2945765</wp:posOffset>
                  </wp:positionH>
                  <wp:positionV relativeFrom="paragraph">
                    <wp:posOffset>-1957070</wp:posOffset>
                  </wp:positionV>
                  <wp:extent cx="7609205" cy="4420870"/>
                  <wp:effectExtent l="0" t="0" r="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0280" w:rsidRPr="00D91622">
              <w:rPr>
                <w:rFonts w:ascii="Arial" w:hAnsi="Arial" w:cs="Arial"/>
                <w:color w:val="000000"/>
                <w:sz w:val="20"/>
                <w:szCs w:val="20"/>
              </w:rPr>
              <w:t>odběry nebo převody vody – zemědělství, veřejné vodovody, průmysl (bez chlazení), chlazení, jiný účel</w:t>
            </w:r>
          </w:p>
        </w:tc>
      </w:tr>
      <w:tr w:rsidR="00404EEE" w:rsidRPr="005A3A97" w:rsidTr="00B340D7">
        <w:trPr>
          <w:trHeight w:val="18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404EEE" w:rsidRPr="005A3A97" w:rsidRDefault="00404EEE" w:rsidP="00404E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238" w:type="dxa"/>
            <w:shd w:val="clear" w:color="auto" w:fill="FFFFFF" w:themeFill="background1"/>
            <w:vAlign w:val="center"/>
            <w:hideMark/>
          </w:tcPr>
          <w:p w:rsidR="00404EEE" w:rsidRPr="00F648E4" w:rsidRDefault="00404EEE" w:rsidP="00404E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Jiný klíčový typ opatření reportovaný v programu opatření</w:t>
            </w:r>
          </w:p>
        </w:tc>
      </w:tr>
      <w:tr w:rsidR="000D3A1D" w:rsidRPr="005A3A97" w:rsidTr="00B340D7">
        <w:trPr>
          <w:trHeight w:val="158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Klíčový typ opatření 2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:rsidR="000D3A1D" w:rsidRPr="00F648E4" w:rsidRDefault="000D3A1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D3A1D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:rsidR="000D3A1D" w:rsidRPr="00DA1209" w:rsidRDefault="000448D9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120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</w:t>
            </w:r>
            <w:r w:rsidR="00860280" w:rsidRPr="00DA120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vantitativní</w:t>
            </w:r>
            <w:bookmarkStart w:id="1" w:name="_GoBack"/>
            <w:bookmarkEnd w:id="1"/>
            <w:r w:rsidR="00860280" w:rsidRPr="00DA120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stav útvaru podzemní vody</w:t>
            </w:r>
            <w:r w:rsidR="00860280" w:rsidRPr="00DA120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C6B62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EC6B62" w:rsidRPr="005A3A97" w:rsidRDefault="00EC6B62" w:rsidP="00EC6B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:rsidR="00EC6B62" w:rsidRPr="00F648E4" w:rsidRDefault="00EC6B62" w:rsidP="00EC6B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Povodí Ohře s. p.</w:t>
            </w:r>
          </w:p>
        </w:tc>
      </w:tr>
      <w:tr w:rsidR="00EC6B62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EC6B62" w:rsidRPr="005A3A97" w:rsidRDefault="00EC6B62" w:rsidP="00EC6B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:rsidR="00EC6B62" w:rsidRPr="00F648E4" w:rsidRDefault="00EC6B62" w:rsidP="00EC6B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Vodoprávní úřady</w:t>
            </w:r>
          </w:p>
        </w:tc>
      </w:tr>
      <w:tr w:rsidR="0066426F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:rsidR="0066426F" w:rsidRPr="00F648E4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nejsou specifikovány</w:t>
            </w:r>
          </w:p>
        </w:tc>
      </w:tr>
      <w:tr w:rsidR="000D3A1D" w:rsidRPr="005A3A97" w:rsidTr="00B340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:rsidR="000D3A1D" w:rsidRPr="00F648E4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238" w:type="dxa"/>
            <w:noWrap/>
            <w:vAlign w:val="center"/>
          </w:tcPr>
          <w:p w:rsidR="000D3A1D" w:rsidRPr="00FD36E8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238" w:type="dxa"/>
            <w:noWrap/>
            <w:vAlign w:val="center"/>
          </w:tcPr>
          <w:p w:rsidR="000D3A1D" w:rsidRPr="00FD36E8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0D3A1D" w:rsidRPr="005A3A97" w:rsidRDefault="000D3A1D" w:rsidP="00861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238" w:type="dxa"/>
            <w:noWrap/>
            <w:vAlign w:val="center"/>
            <w:hideMark/>
          </w:tcPr>
          <w:p w:rsidR="000D3A1D" w:rsidRPr="00F648E4" w:rsidRDefault="000D3A1D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jiné překážky</w:t>
            </w:r>
          </w:p>
        </w:tc>
      </w:tr>
      <w:tr w:rsidR="00EC6B62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EC6B62" w:rsidRPr="005A3A97" w:rsidRDefault="00EC6B62" w:rsidP="00EC6B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238" w:type="dxa"/>
            <w:noWrap/>
            <w:vAlign w:val="center"/>
            <w:hideMark/>
          </w:tcPr>
          <w:p w:rsidR="00EC6B62" w:rsidRPr="00F648E4" w:rsidRDefault="00860280" w:rsidP="00EC6B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2" w:name="_Hlk77577905"/>
            <w:r>
              <w:rPr>
                <w:rFonts w:ascii="Arial" w:hAnsi="Arial" w:cs="Arial"/>
                <w:color w:val="000000"/>
                <w:sz w:val="20"/>
                <w:szCs w:val="20"/>
              </w:rPr>
              <w:t>Zranitelná oblast</w:t>
            </w:r>
            <w:bookmarkEnd w:id="2"/>
          </w:p>
        </w:tc>
      </w:tr>
      <w:tr w:rsidR="00EC6B62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EC6B62" w:rsidRPr="005A3A97" w:rsidRDefault="00EC6B62" w:rsidP="00EC6B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238" w:type="dxa"/>
            <w:noWrap/>
            <w:vAlign w:val="center"/>
            <w:hideMark/>
          </w:tcPr>
          <w:p w:rsidR="00EC6B62" w:rsidRPr="00F648E4" w:rsidRDefault="00860280" w:rsidP="00EC6B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Útvar podzemních vod využíván nebo uvažován pro odběr pitné vody pro lidskou spotřebu</w:t>
            </w:r>
          </w:p>
        </w:tc>
      </w:tr>
      <w:tr w:rsidR="00EC6B62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EC6B62" w:rsidRPr="005A3A97" w:rsidRDefault="00EC6B62" w:rsidP="00EC6B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238" w:type="dxa"/>
            <w:noWrap/>
            <w:vAlign w:val="center"/>
            <w:hideMark/>
          </w:tcPr>
          <w:p w:rsidR="00EC6B62" w:rsidRPr="00F648E4" w:rsidRDefault="00860280" w:rsidP="00EC6B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Evropsky významná lokalita s vazbou na vodu</w:t>
            </w:r>
          </w:p>
        </w:tc>
      </w:tr>
      <w:tr w:rsidR="002871F0" w:rsidRPr="005A3A97" w:rsidTr="00F648E4">
        <w:trPr>
          <w:trHeight w:val="300"/>
        </w:trPr>
        <w:tc>
          <w:tcPr>
            <w:tcW w:w="3114" w:type="dxa"/>
            <w:vAlign w:val="center"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38" w:type="dxa"/>
            <w:noWrap/>
            <w:vAlign w:val="center"/>
          </w:tcPr>
          <w:p w:rsidR="002871F0" w:rsidRPr="002871F0" w:rsidRDefault="002871F0" w:rsidP="002871F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2871F0">
              <w:rPr>
                <w:rFonts w:ascii="Arial" w:hAnsi="Arial" w:cs="Arial"/>
                <w:color w:val="000000"/>
                <w:sz w:val="20"/>
                <w:szCs w:val="20"/>
              </w:rPr>
              <w:t>tačí oblast s vazbou na vodu</w:t>
            </w:r>
          </w:p>
        </w:tc>
      </w:tr>
      <w:tr w:rsidR="002871F0" w:rsidRPr="005A3A97" w:rsidTr="00F648E4">
        <w:trPr>
          <w:trHeight w:val="6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238" w:type="dxa"/>
            <w:noWrap/>
            <w:vAlign w:val="center"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1F0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</w:p>
        </w:tc>
        <w:tc>
          <w:tcPr>
            <w:tcW w:w="6238" w:type="dxa"/>
            <w:noWrap/>
            <w:vAlign w:val="center"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sz w:val="20"/>
                <w:szCs w:val="20"/>
              </w:rPr>
              <w:t>Vodní útvar</w:t>
            </w:r>
          </w:p>
        </w:tc>
      </w:tr>
      <w:tr w:rsidR="002871F0" w:rsidRPr="005A3A97" w:rsidTr="00F648E4">
        <w:trPr>
          <w:trHeight w:val="615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238" w:type="dxa"/>
            <w:vAlign w:val="center"/>
            <w:hideMark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1F0" w:rsidRPr="005A3A97" w:rsidTr="00EC6B62">
        <w:trPr>
          <w:trHeight w:val="345"/>
        </w:trPr>
        <w:tc>
          <w:tcPr>
            <w:tcW w:w="935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:rsidR="002871F0" w:rsidRPr="00F648E4" w:rsidRDefault="002871F0" w:rsidP="00F641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48E4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871F0" w:rsidRPr="005A3A97" w:rsidTr="00EC6B62">
        <w:trPr>
          <w:trHeight w:val="345"/>
        </w:trPr>
        <w:tc>
          <w:tcPr>
            <w:tcW w:w="9352" w:type="dxa"/>
            <w:gridSpan w:val="2"/>
            <w:shd w:val="clear" w:color="auto" w:fill="DEEAF6" w:themeFill="accent5" w:themeFillTint="33"/>
            <w:noWrap/>
            <w:vAlign w:val="center"/>
          </w:tcPr>
          <w:p w:rsidR="002871F0" w:rsidRPr="00F648E4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48E4">
              <w:rPr>
                <w:rFonts w:ascii="Arial" w:hAnsi="Arial" w:cs="Arial"/>
                <w:b/>
                <w:bCs/>
                <w:sz w:val="20"/>
                <w:szCs w:val="20"/>
              </w:rPr>
              <w:t>Popis současného stavu</w:t>
            </w:r>
          </w:p>
        </w:tc>
      </w:tr>
      <w:tr w:rsidR="002871F0" w:rsidRPr="005A3A97" w:rsidTr="00B340D7">
        <w:trPr>
          <w:trHeight w:val="1377"/>
        </w:trPr>
        <w:tc>
          <w:tcPr>
            <w:tcW w:w="9352" w:type="dxa"/>
            <w:gridSpan w:val="2"/>
            <w:shd w:val="clear" w:color="auto" w:fill="FFFFFF" w:themeFill="background1"/>
            <w:vAlign w:val="center"/>
            <w:hideMark/>
          </w:tcPr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 dílčím povodí Ohře, dolního Labe a ostatních přítoků Labe se vyskytují vodní útvary podzemních vod s napjatou bilancí. </w:t>
            </w: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Závislost vodních zdrojů na srážkách a nepříznivá odtoková bilance České republiky v kombinaci s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nárůstem extremity počasí v uplynulých letech, která se projevuje především dlouhodobějším bezesrážkovým obdobím a vyšší frekvencí přívalových srážek, může v dlouhodobějším výhledu způsobit problémy se zajištěním dostatku vody pro zásobování obyvatelstva vodou a může ohrozit důležité odběry pro řadu průmyslových odvětví i zemědělství. V neposlední řadě má stav podzemních vod vliv také na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stav vodních toků a vodních ekosystémů i suchozemských ekosystémů a mokřadů přímo závisejících na vodních ekosystémech.</w:t>
            </w:r>
          </w:p>
          <w:p w:rsidR="002871F0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00224" behindDoc="1" locked="0" layoutInCell="1" allowOverlap="1" wp14:anchorId="5935A48E" wp14:editId="79F6B25A">
                  <wp:simplePos x="0" y="0"/>
                  <wp:positionH relativeFrom="page">
                    <wp:posOffset>-910590</wp:posOffset>
                  </wp:positionH>
                  <wp:positionV relativeFrom="paragraph">
                    <wp:posOffset>300990</wp:posOffset>
                  </wp:positionV>
                  <wp:extent cx="7611110" cy="4420870"/>
                  <wp:effectExtent l="0" t="0" r="889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Jedním z důsledků nárůstu extremity počasí je výskyt sucha v nejrůznějších podobách. Sucho je velmi nepříjemným přírodním jevem, protože jeho nepravidelný výskyt v prostoru, čase i délce trvání je těžké předpovídat. Je však daným přírodním fenoménem naší krajiny, s jehož možným rostoucím výskytem je třeba v budoucnu počítat, přizpůsobit se a snažit se omezovat jeho důsledky zaváděním vhodných opatření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rostřednictvím vodní bilance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je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sledován trend ve využívání podzemních vod a dle posledních poznatků se neočekává výrazný nárůst odebíraného množství. V rozvojových plánech celého území ve správě Povodí Ohře, státní podnik není v této době znám výrazný investor s nárokem na vyšší užívání vody v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e vodních útvarech s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napjatou bilan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cí.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</w:p>
          <w:p w:rsidR="002871F0" w:rsidRPr="00F648E4" w:rsidRDefault="002871F0" w:rsidP="002871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 </w:t>
            </w:r>
          </w:p>
        </w:tc>
      </w:tr>
      <w:tr w:rsidR="002871F0" w:rsidRPr="005C040D" w:rsidTr="00EC6B62">
        <w:trPr>
          <w:trHeight w:val="266"/>
        </w:trPr>
        <w:tc>
          <w:tcPr>
            <w:tcW w:w="9352" w:type="dxa"/>
            <w:gridSpan w:val="2"/>
            <w:shd w:val="clear" w:color="auto" w:fill="D9E2F3" w:themeFill="accent1" w:themeFillTint="33"/>
            <w:vAlign w:val="center"/>
          </w:tcPr>
          <w:p w:rsidR="002871F0" w:rsidRPr="00F648E4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48E4">
              <w:rPr>
                <w:rFonts w:ascii="Arial" w:hAnsi="Arial" w:cs="Arial"/>
                <w:b/>
                <w:bCs/>
                <w:sz w:val="20"/>
                <w:szCs w:val="20"/>
              </w:rPr>
              <w:t>Návrh opatření</w:t>
            </w:r>
          </w:p>
        </w:tc>
      </w:tr>
      <w:tr w:rsidR="002871F0" w:rsidRPr="005A3A97" w:rsidTr="00EC6B62">
        <w:trPr>
          <w:trHeight w:val="553"/>
        </w:trPr>
        <w:tc>
          <w:tcPr>
            <w:tcW w:w="9352" w:type="dxa"/>
            <w:gridSpan w:val="2"/>
            <w:shd w:val="clear" w:color="auto" w:fill="DEEAF6" w:themeFill="accent5" w:themeFillTint="33"/>
            <w:vAlign w:val="center"/>
          </w:tcPr>
          <w:p w:rsidR="002871F0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1F2C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Cíl: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Pro zajištění vyrovnanější vodohospodářské bilance ve vodních útvarech s napjatou vodní bilancí a s ohledem na vývoj klimatických podmínek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se navrhují následující typy opatření:</w:t>
            </w: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1.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Revize odběrů vod (či obecně nakládání s vodami) a jejich sezónní rozložení s důrazem na případy, kdy je povolen odběr vody výrazně vyšší než dlouhodobě skutečně využívaný. Tyto případy v rámci prodlužování vodoprávních povolení korigovat.</w:t>
            </w:r>
          </w:p>
          <w:p w:rsidR="002871F0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2.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U významnějších odběrů podzemních vod (nad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5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l/s) stanovovat minimální hladiny podzemních vod.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Návrh minimální hladiny musí být obsažen v hydrogeologickém posudku.</w:t>
            </w: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3.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Nové odběry vody povolovat jen tak, aby neměly negativní dopad na stav povrchových a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podzemních vod a na využívání stávajících povolení k nakládání s vodami.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Vždy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požadovat doložení odborného posouzení dopadu nového nakládání s vodami na vodní poměry v území (hydrogeologický posudek)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a stanovovat povinnost měřit odebírané množství podzemních vod.</w:t>
            </w: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lastRenderedPageBreak/>
              <w:t>4.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Optimalizace vodního režimu krajiny, tj. udržení vody v ploše povodí. Zejména se jedná o redukci plošného odvodnění dotčených povodí. Prostřednictvím zasakovacích zařízení podporovat doplňování zásob podzemních vod.</w:t>
            </w: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5.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Vyžadovat při vodoprávních řízeních o odběrech podzemních vod maximální využívání srážkových vod, která bude vhodným způsobem jímána a akumulována. </w:t>
            </w:r>
          </w:p>
          <w:p w:rsidR="002871F0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6.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F648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Omezovat odběry podzemních vod pro jiné než pitné účely (průmysl, závlahy nezemědělských pozemků – hřiště apod.).</w:t>
            </w:r>
          </w:p>
          <w:p w:rsidR="002871F0" w:rsidRPr="00F648E4" w:rsidRDefault="002871F0" w:rsidP="002871F0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2871F0" w:rsidRPr="005A3A97" w:rsidTr="00F648E4">
        <w:trPr>
          <w:trHeight w:val="6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Cyklus plánů, ve kterém bylo opatření navrženo</w:t>
            </w:r>
          </w:p>
        </w:tc>
        <w:tc>
          <w:tcPr>
            <w:tcW w:w="6238" w:type="dxa"/>
            <w:noWrap/>
            <w:vAlign w:val="center"/>
            <w:hideMark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2871F0" w:rsidRPr="005A3A97" w:rsidTr="00F648E4">
        <w:trPr>
          <w:trHeight w:val="6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238" w:type="dxa"/>
            <w:noWrap/>
            <w:vAlign w:val="center"/>
            <w:hideMark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D736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2871F0" w:rsidRPr="005A3A97" w:rsidTr="00F648E4">
        <w:trPr>
          <w:trHeight w:val="6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238" w:type="dxa"/>
            <w:noWrap/>
            <w:vAlign w:val="center"/>
            <w:hideMark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64167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871F0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238" w:type="dxa"/>
            <w:noWrap/>
            <w:vAlign w:val="center"/>
            <w:hideMark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64167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871F0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238" w:type="dxa"/>
            <w:noWrap/>
            <w:vAlign w:val="center"/>
            <w:hideMark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>kvantitativní stav podzemních vod</w:t>
            </w:r>
          </w:p>
        </w:tc>
      </w:tr>
      <w:tr w:rsidR="002871F0" w:rsidRPr="005A3A97" w:rsidTr="00EC6B62">
        <w:trPr>
          <w:trHeight w:val="345"/>
        </w:trPr>
        <w:tc>
          <w:tcPr>
            <w:tcW w:w="9352" w:type="dxa"/>
            <w:gridSpan w:val="2"/>
            <w:shd w:val="clear" w:color="auto" w:fill="D9E2F3" w:themeFill="accent1" w:themeFillTint="33"/>
            <w:noWrap/>
            <w:vAlign w:val="center"/>
            <w:hideMark/>
          </w:tcPr>
          <w:p w:rsidR="002871F0" w:rsidRPr="00F648E4" w:rsidRDefault="002871F0" w:rsidP="00F641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48E4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F6416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648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6416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871F0" w:rsidRPr="005A3A97" w:rsidTr="00F648E4">
        <w:trPr>
          <w:trHeight w:val="3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238" w:type="dxa"/>
            <w:noWrap/>
            <w:vAlign w:val="center"/>
            <w:hideMark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871F0" w:rsidRPr="005A3A97" w:rsidTr="00F648E4">
        <w:trPr>
          <w:trHeight w:val="600"/>
        </w:trPr>
        <w:tc>
          <w:tcPr>
            <w:tcW w:w="3114" w:type="dxa"/>
            <w:vAlign w:val="center"/>
            <w:hideMark/>
          </w:tcPr>
          <w:p w:rsidR="002871F0" w:rsidRPr="005A3A97" w:rsidRDefault="002871F0" w:rsidP="002871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238" w:type="dxa"/>
            <w:noWrap/>
            <w:vAlign w:val="center"/>
            <w:hideMark/>
          </w:tcPr>
          <w:p w:rsidR="002871F0" w:rsidRPr="00F648E4" w:rsidRDefault="002871F0" w:rsidP="002871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48E4">
              <w:rPr>
                <w:rFonts w:ascii="Arial" w:hAnsi="Arial" w:cs="Arial"/>
                <w:color w:val="000000"/>
                <w:sz w:val="20"/>
                <w:szCs w:val="20"/>
              </w:rPr>
              <w:t xml:space="preserve">probíhá </w:t>
            </w:r>
          </w:p>
        </w:tc>
      </w:tr>
    </w:tbl>
    <w:p w:rsidR="00432988" w:rsidRDefault="00EC6B62" w:rsidP="00D1359C">
      <w:r>
        <w:rPr>
          <w:noProof/>
        </w:rPr>
        <w:drawing>
          <wp:anchor distT="0" distB="0" distL="114300" distR="114300" simplePos="0" relativeHeight="251698176" behindDoc="1" locked="0" layoutInCell="1" allowOverlap="1" wp14:anchorId="6B5ED4E3" wp14:editId="610289DD">
            <wp:simplePos x="0" y="0"/>
            <wp:positionH relativeFrom="page">
              <wp:align>left</wp:align>
            </wp:positionH>
            <wp:positionV relativeFrom="paragraph">
              <wp:posOffset>1018540</wp:posOffset>
            </wp:positionV>
            <wp:extent cx="7611110" cy="4420870"/>
            <wp:effectExtent l="0" t="0" r="889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11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5BE" w:rsidRDefault="00B505BE" w:rsidP="000108F0">
      <w:pPr>
        <w:spacing w:after="0" w:line="240" w:lineRule="auto"/>
      </w:pPr>
      <w:r>
        <w:separator/>
      </w:r>
    </w:p>
  </w:endnote>
  <w:endnote w:type="continuationSeparator" w:id="0">
    <w:p w:rsidR="00B505BE" w:rsidRDefault="00B505B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5BE" w:rsidRDefault="00B505BE" w:rsidP="000108F0">
      <w:pPr>
        <w:spacing w:after="0" w:line="240" w:lineRule="auto"/>
      </w:pPr>
      <w:r>
        <w:separator/>
      </w:r>
    </w:p>
  </w:footnote>
  <w:footnote w:type="continuationSeparator" w:id="0">
    <w:p w:rsidR="00B505BE" w:rsidRDefault="00B505B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F6416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6416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24605"/>
    <w:rsid w:val="000448D9"/>
    <w:rsid w:val="000704C2"/>
    <w:rsid w:val="00072709"/>
    <w:rsid w:val="000734AC"/>
    <w:rsid w:val="00093EA0"/>
    <w:rsid w:val="000D3A1D"/>
    <w:rsid w:val="00101688"/>
    <w:rsid w:val="00104861"/>
    <w:rsid w:val="00104C97"/>
    <w:rsid w:val="00117190"/>
    <w:rsid w:val="00140F68"/>
    <w:rsid w:val="00141E72"/>
    <w:rsid w:val="0014310F"/>
    <w:rsid w:val="00157071"/>
    <w:rsid w:val="0019473B"/>
    <w:rsid w:val="001A0E9A"/>
    <w:rsid w:val="001C6DB2"/>
    <w:rsid w:val="001D7369"/>
    <w:rsid w:val="001E4BAD"/>
    <w:rsid w:val="001F2CB2"/>
    <w:rsid w:val="001F78F8"/>
    <w:rsid w:val="00200C5E"/>
    <w:rsid w:val="00220712"/>
    <w:rsid w:val="00227B66"/>
    <w:rsid w:val="00230134"/>
    <w:rsid w:val="00231B59"/>
    <w:rsid w:val="00243980"/>
    <w:rsid w:val="00243C90"/>
    <w:rsid w:val="00260824"/>
    <w:rsid w:val="0027079A"/>
    <w:rsid w:val="002871F0"/>
    <w:rsid w:val="00294D33"/>
    <w:rsid w:val="00297344"/>
    <w:rsid w:val="002A48F2"/>
    <w:rsid w:val="002D2DC8"/>
    <w:rsid w:val="00334C92"/>
    <w:rsid w:val="00342C65"/>
    <w:rsid w:val="003600A7"/>
    <w:rsid w:val="0037644D"/>
    <w:rsid w:val="003B4CDC"/>
    <w:rsid w:val="003D0EB1"/>
    <w:rsid w:val="003D6D06"/>
    <w:rsid w:val="00404EEE"/>
    <w:rsid w:val="0040690F"/>
    <w:rsid w:val="004313AB"/>
    <w:rsid w:val="00432988"/>
    <w:rsid w:val="00441FEB"/>
    <w:rsid w:val="0047465C"/>
    <w:rsid w:val="0049449B"/>
    <w:rsid w:val="004970F7"/>
    <w:rsid w:val="004B49EE"/>
    <w:rsid w:val="00531EAF"/>
    <w:rsid w:val="00540DC9"/>
    <w:rsid w:val="00554D97"/>
    <w:rsid w:val="00565D92"/>
    <w:rsid w:val="00573B7A"/>
    <w:rsid w:val="005A3A97"/>
    <w:rsid w:val="005C040D"/>
    <w:rsid w:val="00626365"/>
    <w:rsid w:val="00635598"/>
    <w:rsid w:val="006425A5"/>
    <w:rsid w:val="00657CD0"/>
    <w:rsid w:val="0066426F"/>
    <w:rsid w:val="00674940"/>
    <w:rsid w:val="0069766F"/>
    <w:rsid w:val="006A7101"/>
    <w:rsid w:val="006C121B"/>
    <w:rsid w:val="006D3926"/>
    <w:rsid w:val="006E34D4"/>
    <w:rsid w:val="007134D5"/>
    <w:rsid w:val="0074540C"/>
    <w:rsid w:val="00751AA0"/>
    <w:rsid w:val="00772B53"/>
    <w:rsid w:val="00772E45"/>
    <w:rsid w:val="00776570"/>
    <w:rsid w:val="007B3769"/>
    <w:rsid w:val="008132AA"/>
    <w:rsid w:val="00860280"/>
    <w:rsid w:val="00861891"/>
    <w:rsid w:val="008B5D30"/>
    <w:rsid w:val="009114AA"/>
    <w:rsid w:val="00915607"/>
    <w:rsid w:val="00934E96"/>
    <w:rsid w:val="00937869"/>
    <w:rsid w:val="009604E8"/>
    <w:rsid w:val="009A3250"/>
    <w:rsid w:val="009B64C0"/>
    <w:rsid w:val="009D5F7B"/>
    <w:rsid w:val="009E28C7"/>
    <w:rsid w:val="009E7424"/>
    <w:rsid w:val="00A13939"/>
    <w:rsid w:val="00A85F96"/>
    <w:rsid w:val="00AB55F4"/>
    <w:rsid w:val="00B01EE7"/>
    <w:rsid w:val="00B06E2C"/>
    <w:rsid w:val="00B23411"/>
    <w:rsid w:val="00B340D7"/>
    <w:rsid w:val="00B36736"/>
    <w:rsid w:val="00B505BE"/>
    <w:rsid w:val="00B74485"/>
    <w:rsid w:val="00B9657D"/>
    <w:rsid w:val="00B96CA6"/>
    <w:rsid w:val="00BD3CB6"/>
    <w:rsid w:val="00C1730D"/>
    <w:rsid w:val="00C52450"/>
    <w:rsid w:val="00C85C54"/>
    <w:rsid w:val="00C90DBA"/>
    <w:rsid w:val="00CB7FDC"/>
    <w:rsid w:val="00CC3BFC"/>
    <w:rsid w:val="00CD119D"/>
    <w:rsid w:val="00CD2A07"/>
    <w:rsid w:val="00CE557F"/>
    <w:rsid w:val="00CE67B1"/>
    <w:rsid w:val="00CF3609"/>
    <w:rsid w:val="00D071AA"/>
    <w:rsid w:val="00D1359C"/>
    <w:rsid w:val="00D42D68"/>
    <w:rsid w:val="00D64A39"/>
    <w:rsid w:val="00D83316"/>
    <w:rsid w:val="00D91622"/>
    <w:rsid w:val="00D93CF1"/>
    <w:rsid w:val="00DA0B41"/>
    <w:rsid w:val="00DA1209"/>
    <w:rsid w:val="00DC4599"/>
    <w:rsid w:val="00DF76F9"/>
    <w:rsid w:val="00E02A65"/>
    <w:rsid w:val="00E03049"/>
    <w:rsid w:val="00E12D9F"/>
    <w:rsid w:val="00E57256"/>
    <w:rsid w:val="00E640A1"/>
    <w:rsid w:val="00EC418D"/>
    <w:rsid w:val="00EC6B62"/>
    <w:rsid w:val="00ED0B77"/>
    <w:rsid w:val="00ED52F8"/>
    <w:rsid w:val="00EE5102"/>
    <w:rsid w:val="00EF4650"/>
    <w:rsid w:val="00F0743A"/>
    <w:rsid w:val="00F40409"/>
    <w:rsid w:val="00F64167"/>
    <w:rsid w:val="00F648E4"/>
    <w:rsid w:val="00FB1F0D"/>
    <w:rsid w:val="00FB5AA9"/>
    <w:rsid w:val="00FC7896"/>
    <w:rsid w:val="00FD36E8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6cf,#6ff"/>
    </o:shapedefaults>
    <o:shapelayout v:ext="edit">
      <o:idmap v:ext="edit" data="1"/>
    </o:shapelayout>
  </w:shapeDefaults>
  <w:decimalSymbol w:val=","/>
  <w:listSeparator w:val=";"/>
  <w14:docId w14:val="3073C2D2"/>
  <w15:chartTrackingRefBased/>
  <w15:docId w15:val="{9C1B4944-1854-485A-9F2B-2C70E7D1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Textbubliny">
    <w:name w:val="Balloon Text"/>
    <w:basedOn w:val="Normln"/>
    <w:link w:val="TextbublinyChar"/>
    <w:uiPriority w:val="99"/>
    <w:semiHidden/>
    <w:unhideWhenUsed/>
    <w:rsid w:val="003D6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6D06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C78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399C1-5DA5-4E6F-BF5E-DEE855D7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811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2021-01-08T08:21:00Z</cp:lastPrinted>
  <dcterms:created xsi:type="dcterms:W3CDTF">2026-02-24T09:10:00Z</dcterms:created>
  <dcterms:modified xsi:type="dcterms:W3CDTF">2026-03-26T12:02:00Z</dcterms:modified>
</cp:coreProperties>
</file>